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中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国船舶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集团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河南柴油机重工有限责任公司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招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聘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简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  <w:lang w:eastAsia="zh-CN"/>
        </w:rPr>
        <w:t>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80" w:lineRule="exact"/>
        <w:jc w:val="left"/>
        <w:textAlignment w:val="auto"/>
        <w:rPr>
          <w:rFonts w:hint="eastAsia" w:ascii="仿宋_GB2312" w:hAnsi="宋体" w:eastAsia="仿宋_GB2312" w:cs="宋体"/>
          <w:b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河南柴油机重工有限责任公司（以下简称“河柴重工”）,前身是</w:t>
      </w:r>
      <w:bookmarkStart w:id="1" w:name="_GoBack"/>
      <w:bookmarkEnd w:id="1"/>
      <w:r>
        <w:rPr>
          <w:rFonts w:hint="eastAsia" w:ascii="仿宋_GB2312" w:eastAsia="仿宋_GB2312"/>
          <w:sz w:val="28"/>
          <w:szCs w:val="28"/>
        </w:rPr>
        <w:t>河南柴油机厂，始建于1958年5月,是我国“一五”期间156项重点项目之一，新中国第一个高速柴油机厂，中国船舶行业唯一的舰船用高速大功率柴油机专业制造厂，</w:t>
      </w:r>
      <w:r>
        <w:rPr>
          <w:rFonts w:hint="eastAsia" w:ascii="仿宋_GB2312" w:eastAsia="仿宋_GB2312"/>
          <w:bCs/>
          <w:sz w:val="28"/>
          <w:szCs w:val="28"/>
        </w:rPr>
        <w:t>中国船舶集团（CS</w:t>
      </w:r>
      <w:r>
        <w:rPr>
          <w:rFonts w:hint="eastAsia" w:ascii="仿宋_GB2312" w:eastAsia="仿宋_GB2312"/>
          <w:bCs/>
          <w:sz w:val="28"/>
          <w:szCs w:val="28"/>
          <w:lang w:val="en-US" w:eastAsia="zh-CN"/>
        </w:rPr>
        <w:t>S</w:t>
      </w:r>
      <w:r>
        <w:rPr>
          <w:rFonts w:hint="eastAsia" w:ascii="仿宋_GB2312" w:eastAsia="仿宋_GB2312"/>
          <w:bCs/>
          <w:sz w:val="28"/>
          <w:szCs w:val="28"/>
        </w:rPr>
        <w:t>C）成员单位，国家重点保军企业，中国船舶重工集团动力股份有限公司全资子公司。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196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河柴重工拥有世界领先水平的中、高速大功率内燃机(柴油机、气体机)制造技术，已实现了由</w:t>
      </w:r>
      <w:r>
        <w:rPr>
          <w:rFonts w:hint="eastAsia" w:ascii="仿宋_GB2312" w:hAnsi="宋体" w:eastAsia="仿宋_GB2312"/>
          <w:sz w:val="28"/>
          <w:szCs w:val="28"/>
        </w:rPr>
        <w:t>“引进-消化吸收-再创新”到“自主研发高端自主品牌”的根本性转变</w:t>
      </w:r>
      <w:r>
        <w:rPr>
          <w:rFonts w:hint="eastAsia" w:ascii="仿宋_GB2312" w:eastAsia="仿宋_GB2312"/>
          <w:sz w:val="28"/>
          <w:szCs w:val="28"/>
        </w:rPr>
        <w:t>，</w:t>
      </w:r>
      <w:r>
        <w:rPr>
          <w:rFonts w:hint="eastAsia" w:ascii="仿宋_GB2312" w:eastAsia="仿宋_GB2312"/>
          <w:bCs/>
          <w:sz w:val="28"/>
          <w:szCs w:val="28"/>
        </w:rPr>
        <w:t>代表了我国舰船用高速大功率柴油机的发展水平</w:t>
      </w:r>
      <w:r>
        <w:rPr>
          <w:rFonts w:hint="eastAsia" w:ascii="仿宋_GB2312" w:eastAsia="仿宋_GB2312"/>
          <w:sz w:val="28"/>
          <w:szCs w:val="28"/>
        </w:rPr>
        <w:t>。河柴重工是河南省高新技术企业,河南省高速大功率柴油机工程技术研究中心，国家认定企业技术中心，国家认定的CNAS实验室和船舶与海洋工程动力系统国家工程实验室——海洋工程双燃料发动机实验室。“HND”荣获中国驰名商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48" w:firstLineChars="196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产品结构包括高速柴油机、中速柴油机、气体机、双燃料机及成套装置。柴油机功率覆盖范围为110kW-4000 kW，柴油发电机组覆盖范围为80 kW-3000 kW。产品取得CCS、ABS、LR、DNV·GL、BV、RS等多家船机社认可证书，并出口国外市场。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河柴重工坚持“以军品上水平、以民品上总量”的指导思想和“以机为主、军品优先、船陆并举、发展成套”经营方针，随着产品先进性、可靠性不断提升，应用领域不断拓宽。</w:t>
      </w:r>
      <w:r>
        <w:rPr>
          <w:rFonts w:hint="eastAsia" w:ascii="仿宋_GB2312" w:hAnsi="宋体" w:eastAsia="仿宋_GB2312"/>
          <w:bCs/>
          <w:sz w:val="28"/>
          <w:szCs w:val="28"/>
        </w:rPr>
        <w:t>不仅用于船舶用主机和发电机组，而且还广泛应用于陆用发电、江河疏浚、油田、海上平台、海洋工程、工程机械和铁路机车等领域。产品用途已由过去单一舰船辅机到主辅机并举、由单一船用到船陆通用，由单机到成套。</w:t>
      </w:r>
    </w:p>
    <w:p>
      <w:pPr>
        <w:widowControl/>
        <w:snapToGrid w:val="0"/>
        <w:spacing w:line="460" w:lineRule="exact"/>
        <w:jc w:val="left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</w:pPr>
      <w:r>
        <w:rPr>
          <w:rFonts w:hint="eastAsia" w:eastAsia="仿宋_GB2312"/>
          <w:sz w:val="28"/>
          <w:szCs w:val="28"/>
        </w:rPr>
        <w:t>河柴重工坚持高速大功率柴油机为主，扩展、延伸产品应用，走专业化、规模化、集约化、高端化、国际化之路，逐步把河柴重工建设成为以军为本，军民融合，自主创新，主业突出，适度多元，国内先进、国际一流，核心技术自主可控的中高速大功率内燃机及相关多元产业领军企业。</w:t>
      </w:r>
    </w:p>
    <w:p>
      <w:pPr>
        <w:widowControl/>
        <w:snapToGrid w:val="0"/>
        <w:spacing w:line="460" w:lineRule="exact"/>
        <w:jc w:val="left"/>
        <w:rPr>
          <w:rFonts w:hint="eastAsia" w:ascii="Calibri" w:hAnsi="Calibri" w:eastAsia="仿宋_GB2312" w:cs="宋体"/>
          <w:b/>
          <w:bCs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招聘信息</w:t>
      </w:r>
    </w:p>
    <w:tbl>
      <w:tblPr>
        <w:tblStyle w:val="2"/>
        <w:tblpPr w:leftFromText="180" w:rightFromText="180" w:vertAnchor="page" w:horzAnchor="page" w:tblpX="1365" w:tblpY="3077"/>
        <w:tblOverlap w:val="never"/>
        <w:tblW w:w="9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2"/>
        <w:gridCol w:w="4881"/>
        <w:gridCol w:w="1536"/>
        <w:gridCol w:w="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</w:rPr>
              <w:t>拟聘岗位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</w:rPr>
              <w:t>专业要求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</w:rPr>
              <w:t>学历要求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内燃机电气研发设计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发电机组设计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内燃机可靠性研究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能源与动力工程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内燃机研发设计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轮机工程/能源与动力工程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硕士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内燃机工艺设计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轮机工程/车辆工程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机械加工工艺设计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热处理工艺设计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金属材料工程/材料成型及控制工程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焊接技术工艺设计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焊接技术与工程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气体机高低压电气设计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气体机研发设计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轮机工程/能源与动力工程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生产技术工程师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机械制造及其自动化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生产技术工程师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材料成型及控制工程/材料化学/金属材料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268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生产技术工程师</w:t>
            </w:r>
          </w:p>
        </w:tc>
        <w:tc>
          <w:tcPr>
            <w:tcW w:w="4881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焊接技术与工程/材料成型及控制工程/金属材料</w:t>
            </w:r>
          </w:p>
        </w:tc>
        <w:tc>
          <w:tcPr>
            <w:tcW w:w="153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</w:t>
            </w:r>
          </w:p>
        </w:tc>
        <w:tc>
          <w:tcPr>
            <w:tcW w:w="79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</w:pPr>
      <w:r>
        <w:rPr>
          <w:rFonts w:hint="eastAsia" w:ascii="Calibri" w:hAnsi="Calibri" w:eastAsia="仿宋_GB2312" w:cs="宋体"/>
          <w:bCs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薪酬福利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Calibri" w:hAnsi="Calibri" w:eastAsia="仿宋_GB2312" w:cs="宋体"/>
          <w:bCs/>
          <w:kern w:val="0"/>
          <w:sz w:val="28"/>
          <w:szCs w:val="28"/>
        </w:rPr>
      </w:pP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1．签订正式劳动合同，按国家规定缴纳五险</w:t>
      </w:r>
      <w:r>
        <w:rPr>
          <w:rFonts w:hint="eastAsia" w:ascii="Calibri" w:hAnsi="Calibri" w:eastAsia="仿宋_GB2312" w:cs="宋体"/>
          <w:bCs/>
          <w:kern w:val="0"/>
          <w:sz w:val="28"/>
          <w:szCs w:val="28"/>
          <w:lang w:val="en-US" w:eastAsia="zh-CN"/>
        </w:rPr>
        <w:t>二</w:t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金（住房公积金公司缴纳比例为12%）。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Calibri" w:hAnsi="Calibri" w:eastAsia="仿宋_GB2312" w:cs="宋体"/>
          <w:bCs/>
          <w:kern w:val="0"/>
          <w:sz w:val="28"/>
          <w:szCs w:val="28"/>
        </w:rPr>
      </w:pP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2．按规定享受国家法定节假日。</w:t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cr/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 xml:space="preserve">    3．新入职大学生员工按照公司规定享有就餐补贴。 </w:t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cr/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 xml:space="preserve">    4．高标准学生公寓（30平方），有独立卫生间，配置空调、暖气、衣柜、橱柜等生活设施以及标准篮球场和洗衣房等公共设施。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公司所属地域简介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Calibri" w:hAnsi="Calibri" w:eastAsia="仿宋_GB2312" w:cs="宋体"/>
          <w:bCs/>
          <w:kern w:val="0"/>
          <w:sz w:val="28"/>
          <w:szCs w:val="28"/>
        </w:rPr>
      </w:pP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公司河南省洛阳市涧西区中州西路173号。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ascii="Calibri" w:hAnsi="Calibri" w:eastAsia="仿宋_GB2312" w:cs="宋体"/>
          <w:bCs/>
          <w:kern w:val="0"/>
          <w:sz w:val="28"/>
          <w:szCs w:val="28"/>
        </w:rPr>
      </w:pP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洛阳市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位于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"http://baike.baidu.com/item/%E6%B2%B3%E5%8D%97%E7%9C%81/59474"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河南省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西部、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"http://baike.baidu.com/item/%E9%BB%84%E6%B2%B3/5394"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黄河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中下游，因地处洛河之阳而得名，是国务院首批公布的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"http://baike.baidu.com/item/%E5%9B%BD%E5%AE%B6%E5%8E%86%E5%8F%B2%E6%96%87%E5%8C%96%E5%90%8D%E5%9F%8E"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国家历史文化名城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，中国四大古都之一，世界四大圣城之一，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"http://baike.baidu.com/item/%E4%B8%96%E7%95%8C%E6%96%87%E5%8C%96%E5%90%8D%E5%9F%8E"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世界文化名城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，国家区域性中心城市。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ascii="Calibri" w:hAnsi="Calibri" w:eastAsia="仿宋_GB2312" w:cs="宋体"/>
          <w:bCs/>
          <w:kern w:val="0"/>
          <w:sz w:val="28"/>
          <w:szCs w:val="28"/>
        </w:rPr>
      </w:pPr>
      <w:r>
        <w:rPr>
          <w:rFonts w:ascii="Calibri" w:hAnsi="Calibri" w:eastAsia="仿宋_GB2312" w:cs="宋体"/>
          <w:bCs/>
          <w:kern w:val="0"/>
          <w:sz w:val="28"/>
          <w:szCs w:val="28"/>
        </w:rPr>
        <w:t>洛阳有着5000多年文明史、4000多年的建城史和1500多年的建都史，是中国建都最早，建都历史最长的城市。</w:t>
      </w:r>
      <w:bookmarkStart w:id="0" w:name="ref_[3-4]_19675183"/>
      <w:r>
        <w:rPr>
          <w:rFonts w:ascii="Calibri" w:hAnsi="Calibri" w:eastAsia="仿宋_GB2312" w:cs="宋体"/>
          <w:bCs/>
          <w:kern w:val="0"/>
          <w:sz w:val="28"/>
          <w:szCs w:val="28"/>
        </w:rPr>
        <w:t> </w:t>
      </w:r>
      <w:bookmarkEnd w:id="0"/>
    </w:p>
    <w:p>
      <w:pPr>
        <w:widowControl/>
        <w:snapToGrid w:val="0"/>
        <w:spacing w:line="460" w:lineRule="exact"/>
        <w:ind w:firstLine="560" w:firstLineChars="200"/>
        <w:jc w:val="left"/>
        <w:rPr>
          <w:rFonts w:ascii="Calibri" w:hAnsi="Calibri" w:eastAsia="仿宋_GB2312" w:cs="宋体"/>
          <w:bCs/>
          <w:kern w:val="0"/>
          <w:sz w:val="28"/>
          <w:szCs w:val="28"/>
        </w:rPr>
      </w:pPr>
      <w:r>
        <w:rPr>
          <w:rFonts w:ascii="Calibri" w:hAnsi="Calibri" w:eastAsia="仿宋_GB2312" w:cs="宋体"/>
          <w:bCs/>
          <w:kern w:val="0"/>
          <w:sz w:val="28"/>
          <w:szCs w:val="28"/>
        </w:rPr>
        <w:t>洛阳是华夏文明和中华民族的主要发源地，东汉时期丝绸之路东方起点，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"http://baike.baidu.com/item/%E9%9A%8B%E5%94%90%E5%A4%A7%E8%BF%90%E6%B2%B3"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隋唐大运河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的中心枢纽。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"http://baike.baidu.com/item/%E7%89%A1%E4%B8%B9"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牡丹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因洛阳而闻名于世，被誉为“千年帝都，牡丹花城”。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ascii="Calibri" w:hAnsi="Calibri" w:eastAsia="仿宋_GB2312" w:cs="宋体"/>
          <w:bCs/>
          <w:kern w:val="0"/>
          <w:sz w:val="28"/>
          <w:szCs w:val="28"/>
        </w:rPr>
      </w:pPr>
      <w:r>
        <w:rPr>
          <w:rFonts w:ascii="Calibri" w:hAnsi="Calibri" w:eastAsia="仿宋_GB2312" w:cs="宋体"/>
          <w:bCs/>
          <w:kern w:val="0"/>
          <w:sz w:val="28"/>
          <w:szCs w:val="28"/>
        </w:rPr>
        <w:t>洛阳先后荣膺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"http://baike.baidu.com/item/%E4%B8%AD%E5%9B%BD%E4%BC%98%E7%A7%80%E6%97%85%E6%B8%B8%E5%9F%8E%E5%B8%82"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中国优秀旅游城市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现有5A级景区5家，4A级景区12家，3A级景区11家、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"http://baike.baidu.com/item/%E5%85%A8%E5%9B%BD%E6%96%87%E6%98%8E%E5%9F%8E%E5%B8%82"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全国文明城市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、中国十大最佳魅力城市等荣誉称号。2014年，洛阳市入选国家新型城镇化综合试点。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ascii="Calibri" w:hAnsi="Calibri" w:eastAsia="仿宋_GB2312" w:cs="宋体"/>
          <w:bCs/>
          <w:kern w:val="0"/>
          <w:sz w:val="28"/>
          <w:szCs w:val="28"/>
        </w:rPr>
      </w:pPr>
      <w:r>
        <w:rPr>
          <w:rFonts w:ascii="Calibri" w:hAnsi="Calibri" w:eastAsia="仿宋_GB2312" w:cs="宋体"/>
          <w:bCs/>
          <w:kern w:val="0"/>
          <w:sz w:val="28"/>
          <w:szCs w:val="28"/>
        </w:rPr>
        <w:t>洛阳拥有四项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"http://baike.baidu.com/item/%E4%B8%96%E7%95%8C%E6%96%87%E5%8C%96%E9%81%97%E4%BA%A7"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世界文化遗产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，沿洛河两岸存有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"http://baike.baidu.com/item/%E5%A4%8F%E9%83%BD%E4%BA%8C%E9%87%8C%E5%A4%B4%E9%81%97%E5%9D%80"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夏都二里头遗址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、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"http://baike.baidu.com/item/%E5%81%83%E5%B8%88%E5%95%86%E5%9F%8E"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偃师商城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、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"http://baike.baidu.com/item/%E4%B8%9C%E5%91%A8%E7%8E%8B%E5%9F%8E"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东周王城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、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"http://baike.baidu.com/item/%E6%B1%89%E9%AD%8F%E6%95%85%E5%9F%8E"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汉魏故城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、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"http://baike.baidu.com/item/%E9%9A%8B%E5%94%90%E6%B4%9B%E9%98%B3%E5%9F%8E"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隋唐洛阳城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等五大都城遗址。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ascii="Calibri" w:hAnsi="Calibri" w:eastAsia="仿宋_GB2312" w:cs="宋体"/>
          <w:bCs/>
          <w:kern w:val="0"/>
          <w:sz w:val="28"/>
          <w:szCs w:val="28"/>
        </w:rPr>
      </w:pPr>
      <w:r>
        <w:rPr>
          <w:rFonts w:ascii="Calibri" w:hAnsi="Calibri" w:eastAsia="仿宋_GB2312" w:cs="宋体"/>
          <w:bCs/>
          <w:kern w:val="0"/>
          <w:sz w:val="28"/>
          <w:szCs w:val="28"/>
        </w:rPr>
        <w:t>国家发展改革委公布《国家发展改革委关于印发中原城市群发展规划的通知》，该《规划》将洛阳定位为国家区域性中心城市和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"http://baike.baidu.com/item/%E4%B8%AD%E5%8E%9F%E5%9F%8E%E5%B8%82%E7%BE%A4"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中原城市群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副中心城市。洛阳自贸区也是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"http://baike.baidu.com/item/%E4%B8%AD%E5%9B%BD%EF%BC%88%E6%B2%B3%E5%8D%97%EF%BC%89%E8%87%AA%E7%94%B1%E8%B4%B8%E6%98%93%E8%AF%95%E9%AA%8C%E5%8C%BA" \t "_blank"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中国（河南）自由贸易试验区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t>的三大片区之一。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28"/>
          <w:szCs w:val="28"/>
          <w:lang w:eastAsia="zh-CN"/>
        </w:rPr>
        <w:t>联系方式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Calibri" w:hAnsi="Calibri" w:eastAsia="仿宋_GB2312" w:cs="宋体"/>
          <w:bCs/>
          <w:kern w:val="0"/>
          <w:sz w:val="28"/>
          <w:szCs w:val="28"/>
        </w:rPr>
      </w:pP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【招聘邮箱】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begin"/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 HYPERLINK "mailto:</w:instrText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instrText xml:space="preserve">rszp@hnd.com.cn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instrText xml:space="preserve">" </w:instrTex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separate"/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rszp@hnd.com.cn</w:t>
      </w:r>
      <w:r>
        <w:rPr>
          <w:rFonts w:ascii="Calibri" w:hAnsi="Calibri" w:eastAsia="仿宋_GB2312" w:cs="宋体"/>
          <w:bCs/>
          <w:kern w:val="0"/>
          <w:sz w:val="28"/>
          <w:szCs w:val="28"/>
        </w:rPr>
        <w:fldChar w:fldCharType="end"/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Calibri" w:hAnsi="Calibri" w:eastAsia="仿宋_GB2312" w:cs="宋体"/>
          <w:bCs/>
          <w:kern w:val="0"/>
          <w:sz w:val="28"/>
          <w:szCs w:val="28"/>
        </w:rPr>
      </w:pP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【工作地点】河南省洛阳市涧西区中州西路173号</w:t>
      </w:r>
    </w:p>
    <w:p>
      <w:pPr>
        <w:widowControl/>
        <w:snapToGrid w:val="0"/>
        <w:spacing w:line="460" w:lineRule="exact"/>
        <w:ind w:firstLine="560" w:firstLineChars="200"/>
        <w:jc w:val="left"/>
        <w:rPr>
          <w:rFonts w:hint="eastAsia" w:ascii="Calibri" w:hAnsi="Calibri" w:eastAsia="仿宋_GB2312" w:cs="宋体"/>
          <w:bCs/>
          <w:kern w:val="0"/>
          <w:sz w:val="28"/>
          <w:szCs w:val="28"/>
        </w:rPr>
      </w:pP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【联系方式】</w:t>
      </w:r>
      <w:r>
        <w:rPr>
          <w:rFonts w:hint="eastAsia" w:ascii="Calibri" w:hAnsi="Calibri" w:eastAsia="仿宋_GB2312" w:cs="宋体"/>
          <w:bCs/>
          <w:kern w:val="0"/>
          <w:sz w:val="28"/>
          <w:szCs w:val="28"/>
          <w:lang w:val="en-US" w:eastAsia="zh-CN"/>
        </w:rPr>
        <w:t>段老师</w:t>
      </w:r>
      <w:r>
        <w:rPr>
          <w:rFonts w:hint="eastAsia" w:ascii="Calibri" w:hAnsi="Calibri" w:eastAsia="仿宋_GB2312" w:cs="宋体"/>
          <w:bCs/>
          <w:kern w:val="0"/>
          <w:sz w:val="28"/>
          <w:szCs w:val="28"/>
        </w:rPr>
        <w:t>，联系电话0379—64076046。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B938A2"/>
    <w:rsid w:val="7EB938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2020-10-30T07:24:00Z</dcterms:created>
  <dc:creator>段玉王其</dc:creator>
  <cp:lastModifiedBy>段玉王其</cp:lastModifiedBy>
  <dcterms:modified xsi:type="dcterms:W3CDTF">2020-10-30T07:36:11Z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